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§243-A. ELECTRONIC TERMINALS; FEES FOR AND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