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 Operating hours: branch offices and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Operating hours: branch offices and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§338. OPERATING HOURS: BRANCH OFFICES AND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