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345-B</w:t>
        <w:t xml:space="preserve">.  </w:t>
      </w:r>
      <w:r>
        <w:rPr>
          <w:b/>
        </w:rPr>
        <w:t xml:space="preserve">Conversion; investor to investor ownership</w:t>
      </w:r>
    </w:p>
    <w:p>
      <w:pPr>
        <w:jc w:val="both"/>
        <w:spacing w:before="100" w:after="100"/>
        <w:ind w:start="360"/>
        <w:ind w:firstLine="360"/>
      </w:pPr>
      <w:r>
        <w:rPr/>
      </w:r>
      <w:r>
        <w:rPr/>
      </w:r>
      <w:r>
        <w:t xml:space="preserve">With the superintendent's approval and in accordance with the provisions of this section and rules adopted under this section, which are routine technical rules pursuant to </w:t>
      </w:r>
      <w:r>
        <w:t>Title 5, chapter 375, subchapter II‑A</w:t>
      </w:r>
      <w:r>
        <w:t xml:space="preserve">, an equity financial institution organized under </w:t>
      </w:r>
      <w:r>
        <w:t>chapter 31</w:t>
      </w:r>
      <w:r>
        <w:t xml:space="preserve"> may convert its ownership structure to another type of ownership structure permissible under </w:t>
      </w:r>
      <w:r>
        <w:t>chapter 31</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§7 (NEW).]</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2</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3</w:t>
        <w:t xml:space="preserve">.  </w:t>
      </w:r>
      <w:r>
        <w:rPr>
          <w:b/>
        </w:rPr>
        <w:t xml:space="preserve">Dissenting investors.</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§F7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§345-B. Conversion; investor to investor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§345-B. Conversion; investor to investor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§345-B. CONVERSION; INVESTOR TO INVESTOR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