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§431-A. Loan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§431-A. Loan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§431-A. LOAN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