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Fair credit extension</w:t>
      </w:r>
    </w:p>
    <w:p>
      <w:pPr>
        <w:jc w:val="both"/>
        <w:spacing w:before="100" w:after="100"/>
        <w:ind w:start="360"/>
        <w:ind w:firstLine="360"/>
      </w:pPr>
      <w:r>
        <w:rPr/>
      </w:r>
      <w:r>
        <w:rPr/>
      </w:r>
      <w:r>
        <w:t xml:space="preserve">Every financial institution authorized to do business in this State shall be subject to and shall comply with the provisions of </w:t>
      </w:r>
      <w:r>
        <w:t>Title 5, sections 4595</w:t>
      </w:r>
      <w:r>
        <w:t xml:space="preserve"> to </w:t>
      </w:r>
      <w:r>
        <w:t>4598</w:t>
      </w:r>
      <w:r>
        <w:t xml:space="preserve"> providing for the fair extension of credit by lenders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 Fair credit extension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Fair credit extension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§433. FAIR CREDIT EXTENSION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