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877</w:t>
        <w:t xml:space="preserve">.  </w:t>
      </w:r>
      <w:r>
        <w:rPr>
          <w:b/>
        </w:rPr>
        <w:t xml:space="preserve">Fees for mergers, conversions and acquisitions</w:t>
      </w:r>
    </w:p>
    <w:p>
      <w:pPr>
        <w:jc w:val="both"/>
        <w:spacing w:before="100" w:after="100"/>
        <w:ind w:start="360"/>
        <w:ind w:firstLine="360"/>
      </w:pPr>
      <w:r>
        <w:rPr/>
      </w:r>
      <w:r>
        <w:rPr/>
      </w:r>
      <w:r>
        <w:t xml:space="preserve">An application made pursuant to </w:t>
      </w:r>
      <w:r>
        <w:t>sections 872</w:t>
      </w:r>
      <w:r>
        <w:t xml:space="preserve">, </w:t>
      </w:r>
      <w:r>
        <w:t>872‑A</w:t>
      </w:r>
      <w:r>
        <w:t xml:space="preserve">, </w:t>
      </w:r>
      <w:r>
        <w:t>873</w:t>
      </w:r>
      <w:r>
        <w:t xml:space="preserve">, </w:t>
      </w:r>
      <w:r>
        <w:t>875</w:t>
      </w:r>
      <w:r>
        <w:t xml:space="preserve"> or </w:t>
      </w:r>
      <w:r>
        <w:t>876</w:t>
      </w:r>
      <w:r>
        <w:t xml:space="preserve"> may not be considered complete unless accompanied by an application fee payable to the Treasurer of State to be credited and used as provided in </w:t>
      </w:r>
      <w:r>
        <w:t>section 214</w:t>
      </w:r>
      <w:r>
        <w:t xml:space="preserve">.  The superintendent shall establish the amount of the application fee, which may not exceed $2,000.</w:t>
      </w:r>
      <w:r>
        <w:t xml:space="preserve">  </w:t>
      </w:r>
      <w:r xmlns:wp="http://schemas.openxmlformats.org/drawingml/2010/wordprocessingDrawing" xmlns:w15="http://schemas.microsoft.com/office/word/2012/wordml">
        <w:rPr>
          <w:rFonts w:ascii="Arial" w:hAnsi="Arial" w:cs="Arial"/>
          <w:sz w:val="22"/>
          <w:szCs w:val="22"/>
        </w:rPr>
        <w:t xml:space="preserve">[PL 1999, c. 218,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666, §31 (NEW). PL 1999, c. 218,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§877. Fees for mergers, conversions and acquisitions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§877. Fees for mergers, conversions and acquisitions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§877. FEES FOR MERGERS, CONVERSIONS AND ACQUISITIONS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