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Capital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Capital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§912. CAPITAL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