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1831</w:t>
        <w:t xml:space="preserve">.  </w:t>
      </w:r>
      <w:r>
        <w:rPr>
          <w:b/>
        </w:rPr>
        <w:t xml:space="preserve">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jc w:val="both"/>
        <w:spacing w:before="100" w:after="100"/>
        <w:ind w:start="1080" w:hanging="720"/>
      </w:pPr>
      <w:r>
        <w:rPr>
          <w:b/>
        </w:rPr>
        <w:t>§</w:t>
        <w:t>1833</w:t>
        <w:t xml:space="preserve">.  </w:t>
      </w:r>
      <w:r>
        <w:rPr>
          <w:b/>
        </w:rPr>
        <w:t xml:space="preserve">Repayment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§8 (RPR). PL 1975, c. 500, §3 (RP). </w:t>
      </w:r>
    </w:p>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jc w:val="both"/>
        <w:spacing w:before="100" w:after="100"/>
        <w:ind w:start="1080" w:hanging="720"/>
      </w:pPr>
      <w:r>
        <w:rPr>
          <w:b/>
        </w:rPr>
        <w:t>§</w:t>
        <w:t>1836</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§9 (AMD). PL 1971, c. 442, §§10,11 (AMD). PL 1975, c. 500, §3 (RP). </w:t>
      </w:r>
    </w:p>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155.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155.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