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TAXATION OF FOREIGN BANKING INSTITUTIONS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Rate and computation of tax; due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92</w:t>
        <w:t xml:space="preserve">.  </w:t>
      </w:r>
      <w:r>
        <w:rPr>
          <w:b/>
        </w:rPr>
        <w:t xml:space="preserve">Report of business volume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93</w:t>
        <w:t xml:space="preserve">.  </w:t>
      </w:r>
      <w:r>
        <w:rPr>
          <w:b/>
        </w:rPr>
        <w:t xml:space="preserve">Account of money used and deposits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TAXATION OF FOREIGN BANKING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TAXATION OF FOREIGN BANKING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 TAXATION OF FOREIGN BANKING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