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§5013. UNAUTHORIZED USE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