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STATUTORY MAINTENANCE</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4. STATUTORY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STATUTORY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4. STATUTORY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