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 General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General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§1008. GENERAL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