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1021</w:t>
        <w:t xml:space="preserve">.  </w:t>
      </w:r>
      <w:r>
        <w:rPr>
          <w:b/>
        </w:rPr>
        <w:t xml:space="preserve">Membership on boards, authorities or commissions</w:t>
      </w:r>
    </w:p>
    <w:p>
      <w:pPr>
        <w:jc w:val="both"/>
        <w:spacing w:before="100" w:after="100"/>
        <w:ind w:start="360"/>
        <w:ind w:firstLine="360"/>
      </w:pPr>
      <w:r>
        <w:rPr/>
      </w:r>
      <w:r>
        <w:rPr/>
      </w:r>
      <w:r>
        <w:t xml:space="preserve">It is not a conflict of interest for a Legislator to serve on a public board, authority or commission created by the Legislature so long as a consideration is not paid to the Legislator other than the Legislator's actual expenses.</w:t>
      </w:r>
      <w:r>
        <w:t xml:space="preserve">  </w:t>
      </w:r>
      <w:r xmlns:wp="http://schemas.openxmlformats.org/drawingml/2010/wordprocessingDrawing" xmlns:w15="http://schemas.microsoft.com/office/word/2012/wordml">
        <w:rPr>
          <w:rFonts w:ascii="Arial" w:hAnsi="Arial" w:cs="Arial"/>
          <w:sz w:val="22"/>
          <w:szCs w:val="22"/>
        </w:rPr>
        <w:t xml:space="preserve">[RR 2023, c. 1, Pt. C,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RR 2023, c. 1, Pt. C, §24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§1021. Membership on boards, authorities or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§1021. Membership on boards, authorities or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§1021. MEMBERSHIP ON BOARDS, AUTHORITIES OR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