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Alcohol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§125. ALCOHOL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