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 Maine Week of Heroes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Maine Week of Heroes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§146. MAINE WEEK OF HEROES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