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204</w:t>
        <w:t xml:space="preserve">.  </w:t>
      </w:r>
      <w:r>
        <w:rPr>
          <w:b/>
        </w:rPr>
        <w:t xml:space="preserve">Use of state seal for commercial purposes</w:t>
      </w:r>
    </w:p>
    <w:p>
      <w:pPr>
        <w:jc w:val="both"/>
        <w:spacing w:before="100" w:after="100"/>
        <w:ind w:start="360"/>
        <w:ind w:firstLine="360"/>
      </w:pPr>
      <w:r>
        <w:rPr/>
      </w:r>
      <w:r>
        <w:rPr/>
      </w:r>
      <w:r>
        <w:t xml:space="preserve">No imitation, imprint, representation, facsimile or copy of the seal of the State of Maine shall be used or displayed for commercial purposes by any person, firm or corporation, except by written permission of the Governor. Any person may sell flags containing the state seal or a facsimile of the state seal. Whoever violates any of the provisions of this section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696,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§204. Use of state seal for commercial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§204. Use of state seal for commercial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§204. USE OF STATE SEAL FOR COMMERCIAL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