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210-B</w:t>
        <w:t xml:space="preserve">.  </w:t>
      </w:r>
      <w:r>
        <w:rPr>
          <w:b/>
        </w:rPr>
        <w:t xml:space="preserve">State ballad</w:t>
      </w:r>
    </w:p>
    <w:p>
      <w:pPr>
        <w:jc w:val="both"/>
        <w:spacing w:before="100" w:after="100"/>
        <w:ind w:start="360"/>
        <w:ind w:firstLine="360"/>
      </w:pPr>
      <w:r>
        <w:rPr/>
      </w:r>
      <w:r>
        <w:rPr/>
      </w:r>
      <w:r>
        <w:t xml:space="preserve">The official ballad of the State is the ballad entitled "Ballad of the 20th Maine," as recorded and performed by the band The Ghost of Paul Revere and written by Griffin Sherry.</w:t>
      </w:r>
      <w:r>
        <w:t xml:space="preserve">  </w:t>
      </w:r>
      <w:r xmlns:wp="http://schemas.openxmlformats.org/drawingml/2010/wordprocessingDrawing" xmlns:w15="http://schemas.microsoft.com/office/word/2012/wordml">
        <w:rPr>
          <w:rFonts w:ascii="Arial" w:hAnsi="Arial" w:cs="Arial"/>
          <w:sz w:val="22"/>
          <w:szCs w:val="22"/>
        </w:rPr>
        <w:t xml:space="preserve">[PL 2019, c. 250,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§210-B. State ballad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§210-B. State ballad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§210-B. STATE BALLAD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