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Effective date</w:t>
      </w:r>
    </w:p>
    <w:p>
      <w:pPr>
        <w:jc w:val="both"/>
        <w:spacing w:before="100" w:after="100"/>
        <w:ind w:start="360"/>
        <w:ind w:firstLine="360"/>
      </w:pPr>
      <w:r>
        <w:rPr/>
      </w:r>
      <w:r>
        <w:rPr/>
      </w:r>
      <w:r>
        <w:t xml:space="preserve">Unless otherwise provided in the resolution submitting it, every constitutional amendment shall take effect and become part of the Constitution, on the first Wednesday of January following its adoption by the people.</w:t>
      </w:r>
      <w:r>
        <w:t xml:space="preserve">  </w:t>
      </w:r>
      <w:r xmlns:wp="http://schemas.openxmlformats.org/drawingml/2010/wordprocessingDrawing" xmlns:w15="http://schemas.microsoft.com/office/word/2012/wordml">
        <w:rPr>
          <w:rFonts w:ascii="Arial" w:hAnsi="Arial" w:cs="Arial"/>
          <w:sz w:val="22"/>
          <w:szCs w:val="22"/>
        </w:rPr>
        <w:t xml:space="preserve">[PL 1973, c. 625,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§351.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§351.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