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§408-A. Public records available for inspection and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§408-A. Public records available for inspection and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§408-A. PUBLIC RECORDS AVAILABLE FOR INSPECTION AND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