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Delivery to successor in office</w:t>
      </w:r>
    </w:p>
    <w:p>
      <w:pPr>
        <w:jc w:val="both"/>
        <w:spacing w:before="100" w:after="100"/>
        <w:ind w:start="360"/>
        <w:ind w:firstLine="360"/>
      </w:pPr>
      <w:r>
        <w:rPr/>
      </w:r>
      <w:r>
        <w:rPr/>
      </w:r>
      <w:r>
        <w:t xml:space="preserve">All revisions of and supplements to the statutes, the session laws and the Maine Reports sold or furnished to any state, county or municipal officer must be held in trust by that officer for the sole use of that officer's office; and at the expiration of that officer's term of office or on that officer's removal from office by death, resignation or other cause, that officer or, if that officer is dead, that officer's legal representatives shall turn those publications over to that officer's successor in office. If there is no successor to the office, that officer, or that officer's legal representatives, shall turn over all of those publications to the  state, county or municipal unit that purchased the same.</w:t>
      </w:r>
      <w:r>
        <w:t xml:space="preserve">  </w:t>
      </w:r>
      <w:r xmlns:wp="http://schemas.openxmlformats.org/drawingml/2010/wordprocessingDrawing" xmlns:w15="http://schemas.microsoft.com/office/word/2012/wordml">
        <w:rPr>
          <w:rFonts w:ascii="Arial" w:hAnsi="Arial" w:cs="Arial"/>
          <w:sz w:val="22"/>
          <w:szCs w:val="22"/>
        </w:rPr>
        <w:t xml:space="preserve">[RR 2023, c. 1, Pt. C,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 (RPR). PL 1981, c. 48, §1 (AMD). RR 2023, c. 1, Pt. C,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§503. Delivery to successor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Delivery to successor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§503. DELIVERY TO SUCCESSOR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