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Executive orders</w:t>
      </w:r>
    </w:p>
    <w:p>
      <w:pPr>
        <w:jc w:val="both"/>
        <w:spacing w:before="100" w:after="0"/>
        <w:ind w:start="360"/>
        <w:ind w:firstLine="360"/>
      </w:pPr>
      <w:r>
        <w:rPr>
          <w:b/>
        </w:rPr>
        <w:t>1</w:t>
        <w:t xml:space="preserve">.  </w:t>
      </w:r>
      <w:r>
        <w:rPr>
          <w:b/>
        </w:rPr>
        <w:t xml:space="preserve">Available to public.</w:t>
        <w:t xml:space="preserve"> </w:t>
      </w:r>
      <w:r>
        <w:t xml:space="preserve"> </w:t>
      </w:r>
      <w:r>
        <w:t xml:space="preserve">The Governor shall maintain in the Governor's office a file containing a copy of every executive order issued by that Governor or by previous governors that is currently in effect.  This file must be open to public inspection at reasonable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475, §4 (AMD).]</w:t>
      </w:r>
    </w:p>
    <w:p>
      <w:pPr>
        <w:jc w:val="both"/>
        <w:spacing w:before="100" w:after="0"/>
        <w:ind w:start="360"/>
        <w:ind w:firstLine="360"/>
      </w:pPr>
      <w:r>
        <w:rPr>
          <w:b/>
        </w:rPr>
        <w:t>2</w:t>
        <w:t xml:space="preserve">.  </w:t>
      </w:r>
      <w:r>
        <w:rPr>
          <w:b/>
        </w:rPr>
        <w:t xml:space="preserve">Dissemination.</w:t>
        <w:t xml:space="preserve"> </w:t>
      </w:r>
      <w:r>
        <w:t xml:space="preserve"> </w:t>
      </w:r>
      <w:r>
        <w:t xml:space="preserve">A copy of every executive order must be filed with the Legislative Council and the Law and Legislative Reference Library, and the executive order must be posted in a conspicuous location on the State's publicly accessible website, within one week after the Governor has issued that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III,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360 (NEW). PL 1977, c. 696, §11 (AMD). PL 2011, c. 380, Pt. III, §1 (AMD). PL 2019, c. 475,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§521. Executive orders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Executive orders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§521. EXECUTIVE ORDERS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