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w:t>
        <w:t xml:space="preserve">.  </w:t>
      </w:r>
      <w:r>
        <w:rPr>
          <w:b/>
        </w:rPr>
        <w:t xml:space="preserve">Copyrights, licensing restrictions and confidentiality</w:t>
      </w:r>
    </w:p>
    <w:p>
      <w:pPr>
        <w:jc w:val="both"/>
        <w:spacing w:before="100" w:after="0"/>
        <w:ind w:start="360"/>
        <w:ind w:firstLine="360"/>
      </w:pPr>
      <w:r>
        <w:rPr>
          <w:b/>
        </w:rPr>
        <w:t>1</w:t>
        <w:t xml:space="preserve">.  </w:t>
      </w:r>
      <w:r>
        <w:rPr>
          <w:b/>
        </w:rPr>
        <w:t xml:space="preserve">Information.</w:t>
        <w:t xml:space="preserve"> </w:t>
      </w:r>
      <w:r>
        <w:t xml:space="preserve"> </w:t>
      </w:r>
      <w:r>
        <w:t xml:space="preserve">The information developed by the network manager for InforME and public information made available through InforME is owned by the public, and copyright or licensing restrictions may not be fixed to this information by the board, the network manager or data custodians.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w:t>
        <w:t xml:space="preserve">.  </w:t>
      </w:r>
      <w:r>
        <w:rPr>
          <w:b/>
        </w:rPr>
        <w:t xml:space="preserve">Custody of network manager.</w:t>
        <w:t xml:space="preserve"> </w:t>
      </w:r>
      <w:r>
        <w:t xml:space="preserve"> </w:t>
      </w:r>
      <w:r>
        <w:t xml:space="preserve">The fact that information is in the custody of the network manager does not by itself make that information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3</w:t>
        <w:t xml:space="preserve">.  </w:t>
      </w:r>
      <w:r>
        <w:rPr>
          <w:b/>
        </w:rPr>
        <w:t xml:space="preserve">User records.</w:t>
        <w:t xml:space="preserve"> </w:t>
      </w:r>
      <w:r>
        <w:t xml:space="preserve"> </w:t>
      </w:r>
      <w:r>
        <w:t xml:space="preserve">Information in records of the network manager or collected by InforME relating to the identity of or use by users of electronic services is confidential and may be released only with the express permission of the user or pursuant to court order.  This subsection does not affect the public record status of any records of data custodians regarding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2011, c. 321,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§538. Copyrights, licensing restrictions and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 Copyrights, licensing restrictions and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§538. COPYRIGHTS, LICENSING RESTRICTIONS AND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