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625</w:t>
      </w:r>
    </w:p>
    <w:p>
      <w:pPr>
        <w:jc w:val="center"/>
        <w:ind w:start="360"/>
        <w:spacing w:before="300" w:after="300"/>
      </w:pPr>
      <w:r>
        <w:rPr>
          <w:b/>
        </w:rPr>
        <w:t xml:space="preserve">VEHICLES</w:t>
      </w:r>
    </w:p>
    <w:p>
      <w:pPr>
        <w:jc w:val="both"/>
        <w:spacing w:before="100" w:after="100"/>
        <w:ind w:start="1080" w:hanging="720"/>
      </w:pPr>
      <w:r>
        <w:rPr>
          <w:b/>
        </w:rPr>
        <w:t>§</w:t>
        <w:t>3801</w:t>
        <w:t xml:space="preserve">.  </w:t>
      </w:r>
      <w:r>
        <w:rPr>
          <w:b/>
        </w:rPr>
        <w:t xml:space="preserve">Vehicles, aircraft and parachutes</w:t>
      </w:r>
    </w:p>
    <w:p>
      <w:pPr>
        <w:jc w:val="both"/>
        <w:spacing w:before="100" w:after="100"/>
        <w:ind w:start="360"/>
        <w:ind w:firstLine="360"/>
      </w:pPr>
      <w:r>
        <w:rPr/>
      </w:r>
      <w:r>
        <w:rPr/>
      </w:r>
      <w:r>
        <w:t xml:space="preserve">Whoever performs labor by himself or his employees in manufacturing or repairing the ironwork or woodwork of wagons, carts, sleighs and other vehicles, aircraft or component parts thereof, and parachutes, or so performing labor furnishes materials therefor or provides storage therefor by direction or consent of the owner thereof, shall have a lien on such vehicle, aircraft or component parts thereof, and parachutes for his reasonable charges for said labor, and for materials used in performing said labor, and for said storage, which takes precedence of all other claims and incumbrances on said vehicles, aircraft or component parts thereof, and parachutes not made to secure a similar lien, and may be enforced by attachment at any time within 90 days after such labor is performed or such materials or storage furnished and not afterwards, provided a claim for such lien is duly filed as required in </w:t>
      </w:r>
      <w:r>
        <w:t>section 3802</w:t>
      </w:r>
      <w:r>
        <w:t xml:space="preserve">. Said lien shall be dissolved if said property has actually changed ownership prior to such filing.</w:t>
      </w:r>
    </w:p>
    <w:p>
      <w:pPr>
        <w:jc w:val="both"/>
        <w:spacing w:before="100" w:after="100"/>
        <w:ind w:start="1080" w:hanging="720"/>
      </w:pPr>
      <w:r>
        <w:rPr>
          <w:b/>
        </w:rPr>
        <w:t>§</w:t>
        <w:t>3802</w:t>
        <w:t xml:space="preserve">.  </w:t>
      </w:r>
      <w:r>
        <w:rPr>
          <w:b/>
        </w:rPr>
        <w:t xml:space="preserve">Filing in office of Secretary of State; inaccuracy does not invalidate lien</w:t>
      </w:r>
    </w:p>
    <w:p>
      <w:pPr>
        <w:jc w:val="both"/>
        <w:spacing w:before="100" w:after="100"/>
        <w:ind w:start="360"/>
        <w:ind w:firstLine="360"/>
      </w:pPr>
      <w:r>
        <w:rPr>
          <w:b/>
        </w:rPr>
        <w:t>1</w:t>
        <w:t xml:space="preserve">.  </w:t>
      </w:r>
      <w:r>
        <w:rPr>
          <w:b/>
        </w:rPr>
        <w:t xml:space="preserve">Filing.</w:t>
        <w:t xml:space="preserve"> </w:t>
      </w:r>
      <w:r>
        <w:t xml:space="preserve"> </w:t>
      </w:r>
      <w:r>
        <w:t xml:space="preserve">A lien described in </w:t>
      </w:r>
      <w:r>
        <w:t>section 3801</w:t>
      </w:r>
      <w:r>
        <w:t xml:space="preserve"> is dissolved unless the claimant files the following documents in the office of the Secretary of State within 90 days after providing the labor, storage or materials:</w:t>
      </w:r>
    </w:p>
    <w:p>
      <w:pPr>
        <w:jc w:val="both"/>
        <w:spacing w:before="100" w:after="0"/>
        <w:ind w:start="720"/>
      </w:pPr>
      <w:r>
        <w:rPr/>
        <w:t>A</w:t>
        <w:t xml:space="preserve">.  </w:t>
      </w:r>
      <w:r>
        <w:rPr/>
      </w:r>
      <w:r>
        <w:t xml:space="preserve">A financing statement in the form approved by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1999, c. 88, §1 (NEW).]</w:t>
      </w:r>
    </w:p>
    <w:p>
      <w:pPr>
        <w:jc w:val="both"/>
        <w:spacing w:before="100" w:after="0"/>
        <w:ind w:start="720"/>
      </w:pPr>
      <w:r>
        <w:rPr/>
        <w:t>B</w:t>
        <w:t xml:space="preserve">.  </w:t>
      </w:r>
      <w:r>
        <w:rPr/>
      </w:r>
      <w:r>
        <w:t xml:space="preserve">A notarized statement that includes an accurate description of the property manufactured or repaired; the name of the owner, if known; and the amount due the claimant for the labor, materials or storage, with any amount paid on account.</w:t>
      </w:r>
      <w:r>
        <w:t xml:space="preserve">  </w:t>
      </w:r>
      <w:r xmlns:wp="http://schemas.openxmlformats.org/drawingml/2010/wordprocessingDrawing" xmlns:w15="http://schemas.microsoft.com/office/word/2012/wordml">
        <w:rPr>
          <w:rFonts w:ascii="Arial" w:hAnsi="Arial" w:cs="Arial"/>
          <w:sz w:val="22"/>
          <w:szCs w:val="22"/>
        </w:rPr>
        <w:t xml:space="preserve">[PL 1999, c. 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88, §1 (NEW).]</w:t>
      </w:r>
    </w:p>
    <w:p>
      <w:pPr>
        <w:jc w:val="both"/>
        <w:spacing w:before="100" w:after="0"/>
        <w:ind w:start="360"/>
        <w:ind w:firstLine="360"/>
      </w:pPr>
      <w:r>
        <w:rPr>
          <w:b/>
        </w:rPr>
        <w:t>2</w:t>
        <w:t xml:space="preserve">.  </w:t>
      </w:r>
      <w:r>
        <w:rPr>
          <w:b/>
        </w:rPr>
        <w:t xml:space="preserve">Fees.</w:t>
        <w:t xml:space="preserve"> </w:t>
      </w:r>
      <w:r>
        <w:t xml:space="preserve"> </w:t>
      </w:r>
      <w:r>
        <w:t xml:space="preserve">The fee for filing a lien under this section is the same as under </w:t>
      </w:r>
      <w:r>
        <w:t>Title 11, section 9‑1525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§7 (AMD); PL 1999, c. 699, Pt. D, §30 (AFF).]</w:t>
      </w:r>
    </w:p>
    <w:p>
      <w:pPr>
        <w:jc w:val="both"/>
        <w:spacing w:before="100" w:after="0"/>
        <w:ind w:start="360"/>
        <w:ind w:firstLine="360"/>
      </w:pPr>
      <w:r>
        <w:rPr>
          <w:b/>
        </w:rPr>
        <w:t>3</w:t>
        <w:t xml:space="preserve">.  </w:t>
      </w:r>
      <w:r>
        <w:rPr>
          <w:b/>
        </w:rPr>
        <w:t xml:space="preserve">Inaccuracy.</w:t>
        <w:t xml:space="preserve"> </w:t>
      </w:r>
      <w:r>
        <w:t xml:space="preserve"> </w:t>
      </w:r>
      <w:r>
        <w:t xml:space="preserve">An inaccuracy in the notarized statement does not invalidate the proceedings unless it appears that the claimant willfully overstated the amount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117 (AMD). PL 1991, c. 225 (AMD). PL 1999, c. 88, §1 (RPR). PL 1999, c. 699, §D7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625.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625.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625.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