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ENFORCEMENT AND SALE GENERALLY</w:t>
      </w:r>
    </w:p>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The person claiming the lien may file, in the Superior Court in the county where he resides a complaint briefly setting forth the nature and amount of his claim, a description of the article possessed and the names and residences of its owners, if known to him, and a prayer for enforcement of his lien.</w:t>
      </w:r>
    </w:p>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his estate has been represented insolvent. His executor or administrator may be summoned and held to answer to an action brought to enforce the lien. The complaint must show that the action is brought to enforce the lien; but all the other forms and proceedings therein shall be the same as in other actions.</w:t>
      </w:r>
    </w:p>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all lien actions, when the labor or materials were not furnished by a contract with the owner of the property affected, such owner may voluntarily appear and become a party to the action. If he does not so appear, such notice of the action as the court orders shall be given him and he shall then become a party to the action. Any person interested in the article as owner, mortgagee or otherwise may appear and defend. Questions of fact at the instance of either party shall be submitted to a jury on an issue framed under the direction of the court.</w:t>
      </w:r>
    </w:p>
    <w:p>
      <w:pPr>
        <w:jc w:val="both"/>
        <w:spacing w:before="100" w:after="100"/>
        <w:ind w:start="1080" w:hanging="720"/>
      </w:pPr>
      <w:r>
        <w:rPr>
          <w:b/>
        </w:rPr>
        <w:t>§</w:t>
        <w:t>4007</w:t>
        <w:t xml:space="preserve">.  </w:t>
      </w:r>
      <w:r>
        <w:rPr>
          <w:b/>
        </w:rPr>
        <w:t xml:space="preserve">Bond for costs</w:t>
      </w:r>
    </w:p>
    <w:p>
      <w:pPr>
        <w:jc w:val="both"/>
        <w:spacing w:before="100" w:after="100"/>
        <w:ind w:start="360"/>
        <w:ind w:firstLine="360"/>
      </w:pPr>
      <w:r>
        <w:rPr/>
      </w:r>
      <w:r>
        <w:rPr/>
      </w:r>
      <w:r>
        <w:t xml:space="preserve">If, in the opinion of the court, the article on which the lien is claimed is not of sufficient value to pay the plaintiff's claim with the probable costs of suit, the court may order the defendant to give bond to the plaintiff, with sufficient sureties approved by the court, to pay such costs as are awarded against him, so far as they are not paid out of the proceeds of the articles on which the lien is claimed.</w:t>
      </w:r>
    </w:p>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his fees and the expenses of sale, to pay to the plaintiff the amount and costs awarded him, and the balance to the person entitled to it, if he is known to the court, otherwise into court.</w:t>
      </w:r>
    </w:p>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his agents.</w:t>
      </w:r>
    </w:p>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631. ENFORCEMENT AND SALE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ENFORCEMENT AND SALE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631. ENFORCEMENT AND SALE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