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Loans eligible for investment</w:t>
      </w:r>
    </w:p>
    <w:p>
      <w:pPr>
        <w:jc w:val="both"/>
        <w:spacing w:before="100" w:after="100"/>
        <w:ind w:start="360"/>
        <w:ind w:firstLine="360"/>
      </w:pPr>
      <w:r>
        <w:rPr/>
      </w:r>
      <w:r>
        <w:rPr/>
      </w:r>
      <w:r>
        <w:t xml:space="preserve">Loans insured under this subchapter are made legal investments for all insurance companies, trust companies, banks, investment companies, savings banks, savings and loan associations, executors, trustees and other fiduciaries, public and private pension or retirement funds and other persons.</w:t>
      </w:r>
      <w:r>
        <w:t xml:space="preserve">  </w:t>
      </w:r>
      <w:r xmlns:wp="http://schemas.openxmlformats.org/drawingml/2010/wordprocessingDrawing" xmlns:w15="http://schemas.microsoft.com/office/word/2012/wordml">
        <w:rPr>
          <w:rFonts w:ascii="Arial" w:hAnsi="Arial" w:cs="Arial"/>
          <w:sz w:val="22"/>
          <w:szCs w:val="22"/>
        </w:rPr>
        <w:t xml:space="preserve">[PL 2003, c. 537, §45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§12 (AMD). PL 1985, c. 344, §54 (AMD). PL 2003, c. 537, §45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§1031.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§1031.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