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1050</w:t>
        <w:t xml:space="preserve">.  </w:t>
      </w:r>
      <w:r>
        <w:rPr>
          <w:b/>
        </w:rPr>
        <w:t xml:space="preserve">Leasehold or other interests of lessee taxable</w:t>
      </w:r>
    </w:p>
    <w:p>
      <w:pPr>
        <w:jc w:val="both"/>
        <w:spacing w:before="100" w:after="100"/>
        <w:ind w:start="360"/>
        <w:ind w:firstLine="360"/>
      </w:pPr>
      <w:r>
        <w:rPr/>
      </w:r>
      <w:r>
        <w:rPr/>
      </w:r>
      <w:r>
        <w:t xml:space="preserve">The interest of the user of any project is subject to taxation in the manner provided for similar interest in </w:t>
      </w:r>
      <w:r>
        <w:t>Title 36, section 551</w:t>
      </w:r>
      <w:r>
        <w:t xml:space="preserve">, subject to </w:t>
      </w:r>
      <w:r>
        <w:t>Title 36, sections 655</w:t>
      </w:r>
      <w:r>
        <w:t xml:space="preserve"> and </w:t>
      </w:r>
      <w:r>
        <w:t>656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476,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§1050. Leasehold or other interests of lessee taxable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§1050. Leasehold or other interests of lessee taxable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§1050. LEASEHOLD OR OTHER INTERESTS OF LESSEE TAXABLE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