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w:t>
        <w:t xml:space="preserve">.  </w:t>
      </w:r>
      <w:r>
        <w:rPr>
          <w:b/>
        </w:rPr>
        <w:t xml:space="preserve">Authorizing resolution</w:t>
      </w:r>
    </w:p>
    <w:p>
      <w:pPr>
        <w:jc w:val="both"/>
        <w:spacing w:before="100" w:after="100"/>
        <w:ind w:start="360"/>
        <w:ind w:firstLine="360"/>
      </w:pPr>
      <w:r>
        <w:rPr/>
      </w:r>
      <w:r>
        <w:rPr/>
      </w:r>
      <w:r>
        <w:t xml:space="preserve">Notwithstanding any other law, either general, special or local, or any charter or charter amendment adopted by the municipality, or any ordinance, resolution, bylaw, rule or regulation of the municipality, it shall not be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§1069.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§1069.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