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Acquisition of assets of person engaged in commerce which tends to create a monopoly</w:t>
      </w:r>
    </w:p>
    <w:p>
      <w:pPr>
        <w:jc w:val="both"/>
        <w:spacing w:before="100" w:after="100"/>
        <w:ind w:start="360"/>
        <w:ind w:firstLine="360"/>
      </w:pPr>
      <w:r>
        <w:rPr/>
      </w:r>
      <w:r>
        <w:rPr/>
      </w:r>
      <w:r>
        <w:t xml:space="preserve">No person engaged in commerce in this State may acquire, directly or indirectly, the whole or any part of the stock or other share capital, or the whole of any part of the assets of another person also engaged in commerce in this State, where in any line of commerce or any activity affecting commerce in any section of this State, the effect of the acquisition or use of that share capital, or the acquisition of those assets, may be substantially to lessen competition or  tend to create a monopoly.</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persons purchasing these stocks solely for investment and not using the same by voting or otherwise to bring about, or in attempting to bring about, the substantial lessening of competition, nor may anything  contained in this section prevent a corporation from causing the formation of subsidiary corporations for the actual carrying on of their immediate lawful business, or the natural and legitimate branches or extensions thereof, or from owning and holding all or a part of the stock of those subsidiary corporations, if the effect of that formation is not to substantially lessen competition.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This section does not apply to the acquisition of stock, share capital or assets of a public utility when the acquisition has been approved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w:pPr>
        <w:jc w:val="both"/>
        <w:spacing w:before="100" w:after="100"/>
        <w:ind w:start="360"/>
        <w:ind w:firstLine="360"/>
      </w:pPr>
      <w:r>
        <w:rPr/>
      </w:r>
      <w:r>
        <w:rPr/>
      </w:r>
      <w:r>
        <w:t xml:space="preserve">Any financial institution subject to the provisions of </w:t>
      </w:r>
      <w:r>
        <w:t>Title 9‑B</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1983,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§1102-A. Acquisition of assets of person engaged in commerce which tends to create a monopoly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Acquisition of assets of person engaged in commerce which tends to create a monopoly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§1102-A. ACQUISITION OF ASSETS OF PERSON ENGAGED IN COMMERCE WHICH TENDS TO CREATE A MONOPOLY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