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1. Limitation on requests for certain types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Limitation on requests for certain types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31. LIMITATION ON REQUESTS FOR CERTAIN TYPES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