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w:t>
        <w:t xml:space="preserve">.  </w:t>
      </w:r>
      <w:r>
        <w:rPr>
          <w:b/>
        </w:rPr>
        <w:t xml:space="preserve">Penalty</w:t>
      </w:r>
    </w:p>
    <w:p>
      <w:pPr>
        <w:jc w:val="both"/>
        <w:spacing w:before="100" w:after="100"/>
        <w:ind w:start="360"/>
        <w:ind w:firstLine="360"/>
      </w:pPr>
      <w:r>
        <w:rPr/>
      </w:r>
      <w:r>
        <w:rPr/>
      </w:r>
      <w:r>
        <w:t xml:space="preserve">In addition to any other relief that may be granted under </w:t>
      </w:r>
      <w:r>
        <w:t>section 1159</w:t>
      </w:r>
      <w:r>
        <w:t xml:space="preserve">, a person who violates </w:t>
      </w:r>
      <w:r>
        <w:t>section 1158</w:t>
      </w:r>
      <w:r>
        <w:t xml:space="preserve"> commits a civil violation for which a fine of not less than $500 per violation may be adjudged.  Each performance or production advertised or conducted in violation of </w:t>
      </w:r>
      <w:r>
        <w:t>section 1158</w:t>
      </w:r>
      <w:r>
        <w:t xml:space="preserve">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§1160.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§1160.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