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§1165. Informal dispute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Informal dispute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§1165. INFORMAL DISPUTE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