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1167</w:t>
        <w:t xml:space="preserve">.  </w:t>
      </w:r>
      <w:r>
        <w:rPr>
          <w:b/>
        </w:rPr>
        <w:t xml:space="preserve">Attorney's fees</w:t>
      </w:r>
    </w:p>
    <w:p>
      <w:pPr>
        <w:jc w:val="both"/>
        <w:spacing w:before="100" w:after="100"/>
        <w:ind w:start="360"/>
        <w:ind w:firstLine="360"/>
      </w:pPr>
      <w:r>
        <w:rPr/>
      </w:r>
      <w:r>
        <w:rPr/>
      </w:r>
      <w:r>
        <w:t xml:space="preserve">In the case of a consumer's successful action to enforce any liability under this chapter, a court may award reasonable attorney's fees and costs incurred in connection with the action.</w:t>
      </w:r>
      <w:r>
        <w:t xml:space="preserve">  </w:t>
      </w:r>
      <w:r xmlns:wp="http://schemas.openxmlformats.org/drawingml/2010/wordprocessingDrawing" xmlns:w15="http://schemas.microsoft.com/office/word/2012/wordml">
        <w:rPr>
          <w:rFonts w:ascii="Arial" w:hAnsi="Arial" w:cs="Arial"/>
          <w:sz w:val="22"/>
          <w:szCs w:val="22"/>
        </w:rPr>
        <w:t xml:space="preserve">[PL 1985, c. 220,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220,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§1167. Attorney's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§1167. Attorney's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§1167. ATTORNEY'S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