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w:t>
        <w:t xml:space="preserve">.  </w:t>
      </w:r>
      <w:r>
        <w:rPr>
          <w:b/>
        </w:rPr>
        <w:t xml:space="preserve">Statute of limitations</w:t>
      </w:r>
    </w:p>
    <w:p>
      <w:pPr>
        <w:jc w:val="both"/>
        <w:spacing w:before="100" w:after="100"/>
        <w:ind w:start="360"/>
        <w:ind w:firstLine="360"/>
      </w:pPr>
      <w:r>
        <w:rPr/>
      </w:r>
      <w:r>
        <w:rPr/>
      </w:r>
      <w:r>
        <w:t xml:space="preserve">If a complaint is filed with the board by a person otherwise entitled to bring a complaint in the courts of the State, then the applicable statute of limitations is tolled and a civil action in a court of competent jurisdiction is barred pending the outcome of proceedings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§1190.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§1190.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