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Violations</w:t>
      </w:r>
    </w:p>
    <w:p>
      <w:pPr>
        <w:jc w:val="both"/>
        <w:spacing w:before="100" w:after="0"/>
        <w:ind w:start="360"/>
        <w:ind w:firstLine="360"/>
      </w:pPr>
      <w:r>
        <w:rPr>
          <w:b/>
        </w:rPr>
        <w:t>1</w:t>
        <w:t xml:space="preserve">.  </w:t>
      </w:r>
      <w:r>
        <w:rPr>
          <w:b/>
        </w:rPr>
        <w:t xml:space="preserve">Private remedy.</w:t>
        <w:t xml:space="preserve"> </w:t>
      </w:r>
      <w:r>
        <w:t xml:space="preserve"> </w:t>
      </w:r>
      <w:r>
        <w:t xml:space="preserve">If the court finds in any action commenced under this chapter that the manufacturer or distributor or its agents violated </w:t>
      </w:r>
      <w:r>
        <w:t>section 1232</w:t>
      </w:r>
      <w:r>
        <w:t xml:space="preserve">, it shall award to the petitioner an amount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violation of this chapter constitutes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§1233.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§1233.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