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Short title</w:t>
      </w:r>
    </w:p>
    <w:p>
      <w:pPr>
        <w:jc w:val="both"/>
        <w:spacing w:before="100" w:after="100"/>
        <w:ind w:start="360"/>
        <w:ind w:firstLine="360"/>
      </w:pPr>
      <w:r>
        <w:rPr/>
      </w:r>
      <w:r>
        <w:rPr/>
      </w:r>
      <w:r>
        <w:t xml:space="preserve">This chapter may be known and cited as the "Personal Sports Mobile Business Practices Act."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