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1399</w:t>
        <w:t xml:space="preserve">.  </w:t>
      </w:r>
      <w:r>
        <w:rPr>
          <w:b/>
        </w:rPr>
        <w:t xml:space="preserve">Civil liability</w:t>
      </w:r>
    </w:p>
    <w:p>
      <w:pPr>
        <w:jc w:val="both"/>
        <w:spacing w:before="100" w:after="0"/>
        <w:ind w:start="360"/>
        <w:ind w:firstLine="360"/>
      </w:pPr>
      <w:r>
        <w:rPr>
          <w:b/>
        </w:rPr>
        <w:t>1</w:t>
        <w:t xml:space="preserve">.  </w:t>
      </w:r>
      <w:r>
        <w:rPr>
          <w:b/>
        </w:rPr>
        <w:t xml:space="preserve">Claim on bonds, deposits or letters of credit.</w:t>
        <w:t xml:space="preserve"> </w:t>
      </w:r>
      <w:r>
        <w:t xml:space="preserve"> </w:t>
      </w:r>
      <w:r>
        <w:t xml:space="preserve">The administrator may file a claim on behalf of any client or clients on the bonds, deposits or letters of credit described in </w:t>
      </w:r>
      <w:r>
        <w:t>section 1397, subsection 1</w:t>
      </w:r>
      <w:r>
        <w:t xml:space="preserve"> to recover the damages as a result of financial loss or damages by reason of the failure of an exchange facilitator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w:pPr>
        <w:jc w:val="both"/>
        <w:spacing w:before="100" w:after="0"/>
        <w:ind w:start="360"/>
        <w:ind w:firstLine="360"/>
      </w:pPr>
      <w:r>
        <w:rPr>
          <w:b/>
        </w:rPr>
        <w:t>2</w:t>
        <w:t xml:space="preserve">.  </w:t>
      </w:r>
      <w:r>
        <w:rPr>
          <w:b/>
        </w:rPr>
        <w:t xml:space="preserve">Civil action.</w:t>
        <w:t xml:space="preserve"> </w:t>
      </w:r>
      <w:r>
        <w:t xml:space="preserve"> </w:t>
      </w:r>
      <w:r>
        <w:t xml:space="preserve">A person may bring a civil action in a court of competent jurisdiction against an exchange facilitator for any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§1399.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§1399.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§1399.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