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299 (NEW).]</w:t>
      </w:r>
    </w:p>
    <w:p>
      <w:pPr>
        <w:jc w:val="both"/>
        <w:spacing w:before="100" w:after="0"/>
        <w:ind w:start="360"/>
        <w:ind w:firstLine="360"/>
      </w:pPr>
      <w:r>
        <w:rPr>
          <w:b/>
        </w:rPr>
        <w:t>1</w:t>
        <w:t xml:space="preserve">.  </w:t>
      </w:r>
      <w:r>
        <w:rPr>
          <w:b/>
        </w:rPr>
        <w:t xml:space="preserve">Solar energy equipment.</w:t>
        <w:t xml:space="preserve"> </w:t>
      </w:r>
      <w:r>
        <w:t xml:space="preserve"> </w:t>
      </w:r>
      <w:r>
        <w:t xml:space="preserve">"Solar energy equipment" means all controls, tanks, pumps, heat exchangers, collectors and all other equipment necessary for the collection, transfer and storage of solar energy, as determined by the Governor's Energy Office. Passive solar energy systems or those systems using natural means to collect, store and transfer solar energy may not be included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§9 (AMD); PL 2011, c. 655, Pt. MM,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299 (NEW). PL 1989, c. 501, §DD29 (AMD). PL 2011, c. 655, Pt. MM, §9 (AMD). PL 2011, c. 655, Pt. MM, §26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