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Fraudulent registration</w:t>
      </w:r>
    </w:p>
    <w:p>
      <w:pPr>
        <w:jc w:val="both"/>
        <w:spacing w:before="100" w:after="100"/>
        <w:ind w:start="360"/>
        <w:ind w:firstLine="360"/>
      </w:pPr>
      <w:r>
        <w:rPr/>
      </w:r>
      <w:r>
        <w:rPr/>
      </w:r>
      <w:r>
        <w:t xml:space="preserve">Any person who shall for himself, or on behalf of any other person, procure the filing or registration of any mark in the office of the Secretary of State under this chapter, by knowingly making any false or fraudulent representation or declaration, verbally or in writing, or by any other fraudulent means, shall be liable to pay all damages sustained in consequence of the filing or registration, to be recovered by or on behalf of the party injured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§1528. Fraudulent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Fraudulent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§1528. FRAUDULENT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