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1532</w:t>
        <w:t xml:space="preserve">.  </w:t>
      </w:r>
      <w:r>
        <w:rPr>
          <w:b/>
        </w:rPr>
        <w:t xml:space="preserve">Common law rights</w:t>
      </w:r>
    </w:p>
    <w:p>
      <w:pPr>
        <w:jc w:val="both"/>
        <w:spacing w:before="100" w:after="100"/>
        <w:ind w:start="360"/>
        <w:ind w:firstLine="360"/>
      </w:pPr>
      <w:r>
        <w:rPr/>
      </w:r>
      <w:r>
        <w:rPr/>
      </w:r>
      <w:r>
        <w:t xml:space="preserve">Nothing in this chapter shall adversely affect the rights or the enforcement of rights in marks acquired in good faith at common law at any time before or after the enactment of this chapter.</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§1532. Common law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§1532. Common law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§1532. COMMON LAW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