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Rules and regulations; contract</w:t>
      </w:r>
    </w:p>
    <w:p>
      <w:pPr>
        <w:jc w:val="both"/>
        <w:spacing w:before="100" w:after="100"/>
        <w:ind w:start="360"/>
        <w:ind w:firstLine="360"/>
      </w:pPr>
      <w:r>
        <w:rPr/>
      </w:r>
      <w:r>
        <w:rPr/>
      </w:r>
      <w:r>
        <w:t xml:space="preserve">The Maine Potato Commission may prescribe rules and regulations for carrying out the purposes of this chapter, and may issue licenses to shippers or processors who shall enter into a contract with the commission and agree to abide by the rules and regulations. The commission may charge a fee on a per package or per hundred-weight basis for the use of trademarks established by the commission or of the State of Maine trademark used on potatoes, fresh or processed. The commission shall reserve the right to cancel any license for failure to abide by the rules and regulations of the commission, or for breach of the terms of any contract entered into with the commission; and the commission shall have the right to cancel all outstanding licenses at any time that the commission deems such action necessary to the best interest of the potato industry as a whole. The commission shall have the right to grant an exclusive license for the use of such trademarks to a single co-operative which shall, by contract with the commission, be empowered to issue licenses to shippers and processors on such terms and conditions as the commission may require.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§1605. Rules and regulations;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Rules and regulations;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§1605. RULES AND REGULATIONS;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