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Penalties</w:t>
      </w:r>
    </w:p>
    <w:p>
      <w:pPr>
        <w:jc w:val="both"/>
        <w:spacing w:before="100" w:after="100"/>
        <w:ind w:start="360"/>
        <w:ind w:firstLine="360"/>
      </w:pPr>
      <w:r>
        <w:rPr/>
      </w:r>
      <w:r>
        <w:rPr/>
      </w:r>
      <w:r>
        <w:t xml:space="preserve">A person who violates any of the provisions of this chapter, except </w:t>
      </w:r>
      <w:r>
        <w:t>section 1658‑A</w:t>
      </w:r>
      <w:r>
        <w:t xml:space="preserve">, is punished by a fine of not more than $100 for the first offense and by a fine of not more than $200 for each subsequent offense, or by imprisonment for 90 days, or by both.  A person who violates </w:t>
      </w:r>
      <w:r>
        <w:t>section 1658‑A</w:t>
      </w:r>
      <w:r>
        <w:t xml:space="preserve"> commits a civil violation for which a forfeiture not to exceed $1,000 may be adjudged.  Each separate sale or attempt to sell in violation of this chapter is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770,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