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1705</w:t>
        <w:t xml:space="preserve">.  </w:t>
      </w:r>
      <w:r>
        <w:rPr>
          <w:b/>
        </w:rPr>
        <w:t xml:space="preserve">Fees</w:t>
      </w:r>
    </w:p>
    <w:p>
      <w:pPr>
        <w:jc w:val="both"/>
        <w:spacing w:before="100" w:after="100"/>
        <w:ind w:start="360"/>
        <w:ind w:firstLine="360"/>
      </w:pPr>
      <w:r>
        <w:rPr/>
      </w:r>
      <w:r>
        <w:rPr/>
      </w:r>
      <w:r>
        <w:t xml:space="preserve">All fees charged for use of the trademarks and from the issuance of licenses shall be paid to the Treasurer of State and the same are appropriated for carrying out this chapter, and for promoting the prosperity of this State and the sardine industry by fostering and promoting better methods of processing, merchandising and advertising of Maine sardines under the direction of the Maine Sardine Council.</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§1705.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§1705.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§1705.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