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Fuel wood</w:t>
      </w:r>
    </w:p>
    <w:p>
      <w:pPr>
        <w:jc w:val="both"/>
        <w:spacing w:before="100" w:after="100"/>
        <w:ind w:start="360"/>
        <w:ind w:firstLine="360"/>
      </w:pPr>
      <w:r>
        <w:rPr/>
      </w:r>
      <w:r>
        <w:rPr/>
      </w:r>
      <w:r>
        <w:t xml:space="preserve">Nothing in this subchapter supersedes or in any way modifies the measurement standards relating to fuel wood provided for in </w:t>
      </w:r>
      <w:r>
        <w:t>section 2302,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§2362-A. Fuel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Fuel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§2362-A. FUEL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