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Commission action if power to grant certificates not granted</w:t>
      </w:r>
    </w:p>
    <w:p>
      <w:pPr>
        <w:jc w:val="both"/>
        <w:spacing w:before="100" w:after="100"/>
        <w:ind w:start="360"/>
      </w:pPr>
      <w:r>
        <w:rPr>
          <w:b/>
        </w:rPr>
        <w:t>(REALLOCATED TO TITLE 35, SECTION 3376)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§256. Commission action if power to grant certificates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Commission action if power to grant certificates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§256. COMMISSION ACTION IF POWER TO GRANT CERTIFICATES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