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2755</w:t>
        <w:t xml:space="preserve">.  </w:t>
      </w:r>
      <w:r>
        <w:rPr>
          <w:b/>
        </w:rPr>
        <w:t xml:space="preserve">Regulations to be unaffected by repeal or prior enabling statute</w:t>
      </w:r>
    </w:p>
    <w:p>
      <w:pPr>
        <w:jc w:val="both"/>
        <w:spacing w:before="100" w:after="100"/>
        <w:ind w:start="360"/>
        <w:ind w:firstLine="360"/>
      </w:pPr>
      <w:r>
        <w:rPr/>
      </w:r>
      <w:r>
        <w:rPr/>
      </w:r>
      <w:r>
        <w:t xml:space="preserve">The adoption of this Act or any of its provisions shall not affect any regulations promulgated pursuant to the authority of any earlier enabling statute unless inconsistent with this Act or modified or revoked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1973, c. 91,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§2755. Regulations to be unaffected by repeal or prior enabling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§2755. Regulations to be unaffected by repeal or prior enabling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§2755. REGULATIONS TO BE UNAFFECTED BY REPEAL OR PRIOR ENABLING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