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Last blocks, shovel handle blocks, railroad ties and ship knees</w:t>
      </w:r>
    </w:p>
    <w:p>
      <w:pPr>
        <w:jc w:val="both"/>
        <w:spacing w:before="100" w:after="100"/>
        <w:ind w:start="360"/>
        <w:ind w:firstLine="360"/>
      </w:pPr>
      <w:r>
        <w:rPr/>
      </w:r>
      <w:r>
        <w:rPr/>
      </w:r>
      <w:r>
        <w:t xml:space="preserve">Whoever labors in the manufacturing of last blocks, shovel handle blocks, railroad ties or ship knees, or is engaged in cooking for persons engaged in such labor, or cuts or furnishes wood for the manufacture of last blocks or shovel handle blocks, or furnishes a team for the hauling of last blocks or shovel handle blocks or the lumber from which they are made, or for the hauling of railroad ties or ship knees, has a lien on said last blocks, shovel handle blocks, railroad ties and ship knees, as the case may be, for the amount due him for his personal labor thereon and for the services of his team and for the amount due for wood so cut or furnished for the manufacture of said last blocks or shovel handle blocks, which takes precedence of all other claims, except liens reserved to the State, and continues for 30 days after said last blocks are stored or housed for drying purposes, or for 30 days after said shovel handle blocks arrive at their destination either for shipment or to be turned, or for 30 days after said railroad ties are on the line of a railroad, or for 30 days after said ship knees are delivered in a shipyard. Such lien may be enforced by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§3607. Last blocks, shovel handle blocks, railroad ties and ship knees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Last blocks, shovel handle blocks, railroad ties and ship knees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§3607. LAST BLOCKS, SHOVEL HANDLE BLOCKS, RAILROAD TIES AND SHIP KNEES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