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Board member candidate information</w:t>
      </w:r>
    </w:p>
    <w:p>
      <w:pPr>
        <w:jc w:val="both"/>
        <w:spacing w:before="100" w:after="100"/>
        <w:ind w:start="360"/>
        <w:ind w:firstLine="360"/>
      </w:pPr>
      <w:r>
        <w:rPr/>
      </w:r>
      <w:r>
        <w:rPr/>
      </w:r>
      <w:r>
        <w:t xml:space="preserve">The Commissioner of Professional and Financial Regulation or the chief staff administrator for an occupational and professional regulatory board shall work with the Executive Department to prepare general information regarding the purpose of an occupational and professional regulatory board and the role, responsibility and perspective of a member of an occupational and professional regulatory board, including a public member.  The material must also include information specific to the board for which the individual is a prospective member, including but not limited to the time commitment, remuneration and any other pertinent details.</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w:pPr>
        <w:jc w:val="both"/>
        <w:spacing w:before="100" w:after="100"/>
        <w:ind w:start="360"/>
        <w:ind w:firstLine="360"/>
      </w:pPr>
      <w:r>
        <w:rPr/>
      </w:r>
      <w:r>
        <w:rPr/>
      </w:r>
      <w:r>
        <w:t xml:space="preserve">This information must be provided to all new candidates for membership on an occupational and professional regulatory board and to members seeking reappointment in order to  fully inform the candidate or member about the nature of the position.  Prior to gubernatorial appointment or reappointment, the candidate or member shall sign a statement indicating that the candidate or member has read the material and is prepared to properly discharge the duties of a member of an occupational and professional regulatory board.  Failure to sign this statement disqualifies the candidate or member for appointment or reappointment on a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§8007. Board member candidate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Board member candidate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§8007. BOARD MEMBER CANDIDATE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