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9041</w:t>
        <w:t xml:space="preserve">.  </w:t>
      </w:r>
      <w:r>
        <w:rPr>
          <w:b/>
        </w:rPr>
        <w:t xml:space="preserve">General rules</w:t>
      </w:r>
    </w:p>
    <w:p>
      <w:pPr>
        <w:jc w:val="both"/>
        <w:spacing w:before="100" w:after="100"/>
        <w:ind w:start="360"/>
        <w:ind w:firstLine="360"/>
      </w:pPr>
      <w:r>
        <w:rPr/>
      </w:r>
      <w:r>
        <w:rPr/>
      </w:r>
      <w:r>
        <w:t xml:space="preserve">The board shall adopt rules and establish standards as provided by </w:t>
      </w:r>
      <w:r>
        <w:t>section 9005‑A</w:t>
      </w:r>
      <w:r>
        <w:t xml:space="preserve"> to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695, Pt. B, §3 (AMD).]</w:t>
      </w:r>
    </w:p>
    <w:p>
      <w:pPr>
        <w:jc w:val="both"/>
        <w:spacing w:before="100" w:after="100"/>
        <w:ind w:start="360"/>
        <w:ind w:firstLine="360"/>
      </w:pPr>
      <w:r>
        <w:rPr/>
      </w:r>
      <w:r>
        <w:rPr/>
      </w:r>
      <w:r>
        <w:t xml:space="preserve">For purposes of this subchapter, manufactured housing includes only housing defined in </w:t>
      </w:r>
      <w:r>
        <w:t>section 9002,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1991, c. 714, §4 (AMD). PL 1993, c. 642, §26 (AMD). PL 2007, c. 695,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§9041. General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§9041. General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§9041. GENERAL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