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§9408. Provision of information in writing; presentation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Provision of information in writing; presentation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§9408. PROVISION OF INFORMATION IN WRITING; PRESENTATION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