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9409</w:t>
        <w:t xml:space="preserve">.  </w:t>
      </w:r>
      <w:r>
        <w:rPr>
          <w:b/>
        </w:rPr>
        <w:t xml:space="preserve">Attribution and effect of electronic record and electronic signature</w:t>
      </w:r>
    </w:p>
    <w:p>
      <w:pPr>
        <w:jc w:val="both"/>
        <w:spacing w:before="100" w:after="0"/>
        <w:ind w:start="360"/>
        <w:ind w:firstLine="360"/>
      </w:pPr>
      <w:r>
        <w:rPr>
          <w:b/>
        </w:rPr>
        <w:t>1</w:t>
        <w:t xml:space="preserve">.  </w:t>
      </w:r>
      <w:r>
        <w:rPr>
          <w:b/>
        </w:rPr>
        <w:t xml:space="preserve">Attributable to person.</w:t>
        <w:t xml:space="preserve"> </w:t>
      </w:r>
      <w:r>
        <w:t xml:space="preserve"> </w:t>
      </w:r>
      <w:r>
        <w:t xml:space="preserve">An electronic record or electronic signature is attributable to a person if it was the act of the person.  The act of the person may be shown in any manner, including a showing of the efficacy of any security procedure applied to determine the person to which the electronic record or electronic signature was attributable.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Effect of attribution to person.</w:t>
        <w:t xml:space="preserve"> </w:t>
      </w:r>
      <w:r>
        <w:t xml:space="preserve"> </w:t>
      </w:r>
      <w:r>
        <w:t xml:space="preserve">The effect of an electronic record or electronic signature attributed to a person under </w:t>
      </w:r>
      <w:r>
        <w:t>subsection 1</w:t>
      </w:r>
      <w:r>
        <w:t xml:space="preserve"> is determined from the context and surrounding circumstances at the time of its creation, execution or adoption, including the parties' agreement, if any, and otherwise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§9409. Attribution and effect of electronic record and electronic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§9409. Attribution and effect of electronic record and electronic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§9409. ATTRIBUTION AND EFFECT OF ELECTRONIC RECORD AND ELECTRONIC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